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Brayden Orozco presented to our office on 9/26/2023 for the continuation of orthodontic treatment. The patient presented with an open bite and multiple broken brackets.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patient is class I on the left side and class II on the right side with a good overjet but a 2mm open bite, which could lead to occlusal malfunction at a later point in time.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upper arch has minimal crowding, and the lower midline is deviated to the left.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We anticipate, with great cooperation, that the patient will be completed with orthodontic treatment within 8 months.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orthodontic treatment is to obtain proper overjet, overbite, and great occlusion so the patient can maintain a positive oral condition.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let the office know if you need anything further.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Regards,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/>
        <w:drawing>
          <wp:inline distB="114300" distT="114300" distL="114300" distR="114300">
            <wp:extent cx="1219200" cy="60960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Nathan Coughlin, DDS, MS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12/17/2023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1471613</wp:posOffset>
          </wp:positionH>
          <wp:positionV relativeFrom="paragraph">
            <wp:posOffset>-200024</wp:posOffset>
          </wp:positionV>
          <wp:extent cx="2995613" cy="743037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3541" r="12966" t="0"/>
                  <a:stretch>
                    <a:fillRect/>
                  </a:stretch>
                </pic:blipFill>
                <pic:spPr>
                  <a:xfrm>
                    <a:off x="0" y="0"/>
                    <a:ext cx="2995613" cy="74303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